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21D71" w14:textId="765FF431" w:rsidR="003D6CAD" w:rsidRDefault="00432E3C">
      <w:pPr>
        <w:pStyle w:val="Ttulo1"/>
        <w:spacing w:before="73" w:line="278" w:lineRule="auto"/>
        <w:ind w:left="114" w:right="119" w:hanging="1"/>
        <w:jc w:val="center"/>
        <w:rPr>
          <w:u w:val="none"/>
        </w:rPr>
      </w:pPr>
      <w:bookmarkStart w:id="0" w:name="_GoBack"/>
      <w:bookmarkEnd w:id="0"/>
      <w:r>
        <w:rPr>
          <w:spacing w:val="-5"/>
        </w:rPr>
        <w:t xml:space="preserve">Regulamento </w:t>
      </w:r>
      <w:r>
        <w:rPr>
          <w:spacing w:val="-4"/>
        </w:rPr>
        <w:t xml:space="preserve">da </w:t>
      </w:r>
      <w:r>
        <w:rPr>
          <w:spacing w:val="-6"/>
        </w:rPr>
        <w:t xml:space="preserve">Consulta </w:t>
      </w:r>
      <w:r>
        <w:rPr>
          <w:spacing w:val="-4"/>
        </w:rPr>
        <w:t xml:space="preserve">aos </w:t>
      </w:r>
      <w:r>
        <w:rPr>
          <w:spacing w:val="-5"/>
        </w:rPr>
        <w:t xml:space="preserve">Associados </w:t>
      </w:r>
      <w:r>
        <w:rPr>
          <w:spacing w:val="-4"/>
        </w:rPr>
        <w:t xml:space="preserve">para </w:t>
      </w:r>
      <w:r>
        <w:rPr>
          <w:spacing w:val="-5"/>
        </w:rPr>
        <w:t xml:space="preserve">Indicação </w:t>
      </w:r>
      <w:r>
        <w:rPr>
          <w:spacing w:val="-4"/>
        </w:rPr>
        <w:t xml:space="preserve">de </w:t>
      </w:r>
      <w:r>
        <w:rPr>
          <w:spacing w:val="-6"/>
        </w:rPr>
        <w:t xml:space="preserve">Representantes </w:t>
      </w:r>
      <w:r>
        <w:rPr>
          <w:spacing w:val="-3"/>
        </w:rPr>
        <w:t xml:space="preserve">do </w:t>
      </w:r>
      <w:r>
        <w:rPr>
          <w:spacing w:val="-4"/>
        </w:rPr>
        <w:t xml:space="preserve">IEP </w:t>
      </w:r>
      <w:r>
        <w:rPr>
          <w:spacing w:val="-5"/>
        </w:rPr>
        <w:t xml:space="preserve">junto </w:t>
      </w:r>
      <w:r>
        <w:rPr>
          <w:spacing w:val="-3"/>
        </w:rPr>
        <w:t xml:space="preserve">ao </w:t>
      </w:r>
      <w:r>
        <w:rPr>
          <w:spacing w:val="-5"/>
        </w:rPr>
        <w:t xml:space="preserve">CREA-PR </w:t>
      </w:r>
      <w:r>
        <w:rPr>
          <w:spacing w:val="-4"/>
        </w:rPr>
        <w:t xml:space="preserve">nas </w:t>
      </w:r>
      <w:r>
        <w:rPr>
          <w:spacing w:val="-6"/>
        </w:rPr>
        <w:t>modalidades:</w:t>
      </w:r>
      <w:r>
        <w:rPr>
          <w:spacing w:val="-6"/>
          <w:u w:val="none"/>
        </w:rPr>
        <w:t xml:space="preserve"> </w:t>
      </w:r>
      <w:r>
        <w:rPr>
          <w:spacing w:val="-5"/>
        </w:rPr>
        <w:t xml:space="preserve">Engenharia Civil </w:t>
      </w:r>
      <w:r>
        <w:t xml:space="preserve">(2 </w:t>
      </w:r>
      <w:r>
        <w:rPr>
          <w:spacing w:val="-5"/>
        </w:rPr>
        <w:t xml:space="preserve">vagas); Engenharia Elétrica </w:t>
      </w:r>
      <w:r>
        <w:rPr>
          <w:spacing w:val="-4"/>
        </w:rPr>
        <w:t>(</w:t>
      </w:r>
      <w:r w:rsidR="0051691B">
        <w:rPr>
          <w:spacing w:val="-4"/>
        </w:rPr>
        <w:t>2</w:t>
      </w:r>
      <w:r>
        <w:rPr>
          <w:spacing w:val="-4"/>
        </w:rPr>
        <w:t xml:space="preserve"> </w:t>
      </w:r>
      <w:r>
        <w:rPr>
          <w:spacing w:val="-5"/>
        </w:rPr>
        <w:t>vaga</w:t>
      </w:r>
      <w:r w:rsidR="0051691B">
        <w:rPr>
          <w:spacing w:val="-5"/>
        </w:rPr>
        <w:t>s</w:t>
      </w:r>
      <w:r>
        <w:rPr>
          <w:spacing w:val="-5"/>
        </w:rPr>
        <w:t xml:space="preserve">); Engenharia Mecânica </w:t>
      </w:r>
      <w:r>
        <w:rPr>
          <w:spacing w:val="-3"/>
        </w:rPr>
        <w:t xml:space="preserve">(1 </w:t>
      </w:r>
      <w:r>
        <w:rPr>
          <w:spacing w:val="-5"/>
        </w:rPr>
        <w:t xml:space="preserve">vaga); </w:t>
      </w:r>
      <w:r>
        <w:rPr>
          <w:spacing w:val="-6"/>
        </w:rPr>
        <w:t xml:space="preserve">Engenharia </w:t>
      </w:r>
      <w:r>
        <w:rPr>
          <w:spacing w:val="-5"/>
        </w:rPr>
        <w:t xml:space="preserve">Química </w:t>
      </w:r>
      <w:r>
        <w:rPr>
          <w:spacing w:val="-3"/>
        </w:rPr>
        <w:t xml:space="preserve">(1 </w:t>
      </w:r>
      <w:r>
        <w:rPr>
          <w:spacing w:val="-5"/>
        </w:rPr>
        <w:t xml:space="preserve">vaga); </w:t>
      </w:r>
      <w:r>
        <w:rPr>
          <w:spacing w:val="-6"/>
        </w:rPr>
        <w:t>Engenharia</w:t>
      </w:r>
      <w:r>
        <w:rPr>
          <w:spacing w:val="-6"/>
          <w:u w:val="none"/>
        </w:rPr>
        <w:t xml:space="preserve"> </w:t>
      </w:r>
      <w:r>
        <w:rPr>
          <w:spacing w:val="-5"/>
        </w:rPr>
        <w:t xml:space="preserve">Agronômica </w:t>
      </w:r>
      <w:r>
        <w:rPr>
          <w:spacing w:val="-3"/>
        </w:rPr>
        <w:t xml:space="preserve">(1 </w:t>
      </w:r>
      <w:r>
        <w:rPr>
          <w:spacing w:val="-5"/>
        </w:rPr>
        <w:t>vaga)</w:t>
      </w:r>
    </w:p>
    <w:p w14:paraId="1CB06AB2" w14:textId="77777777" w:rsidR="003D6CAD" w:rsidRDefault="00432E3C">
      <w:pPr>
        <w:spacing w:before="120"/>
        <w:ind w:left="1406" w:right="1409"/>
        <w:jc w:val="center"/>
        <w:rPr>
          <w:b/>
          <w:sz w:val="18"/>
        </w:rPr>
      </w:pPr>
      <w:r>
        <w:rPr>
          <w:b/>
          <w:sz w:val="18"/>
          <w:u w:val="single"/>
        </w:rPr>
        <w:t>Período da Consulta - Início: 25/11/2019 às 12:00 horas; Término: 26/11/2019 às 19:00 horas.</w:t>
      </w:r>
    </w:p>
    <w:p w14:paraId="36F9DEB2" w14:textId="77777777" w:rsidR="003D6CAD" w:rsidRDefault="003D6CAD">
      <w:pPr>
        <w:pStyle w:val="Corpodetexto"/>
        <w:spacing w:before="0"/>
        <w:ind w:left="0" w:firstLine="0"/>
        <w:jc w:val="left"/>
        <w:rPr>
          <w:b/>
          <w:sz w:val="20"/>
        </w:rPr>
      </w:pPr>
    </w:p>
    <w:p w14:paraId="2AE116B3" w14:textId="77777777" w:rsidR="003D6CAD" w:rsidRDefault="003D6CAD">
      <w:pPr>
        <w:pStyle w:val="Corpodetexto"/>
        <w:spacing w:before="0"/>
        <w:ind w:left="0" w:firstLine="0"/>
        <w:jc w:val="left"/>
        <w:rPr>
          <w:b/>
          <w:sz w:val="20"/>
        </w:rPr>
      </w:pPr>
    </w:p>
    <w:p w14:paraId="1830A82C" w14:textId="77777777" w:rsidR="003D6CAD" w:rsidRDefault="003D6CAD">
      <w:pPr>
        <w:pStyle w:val="Corpodetexto"/>
        <w:spacing w:before="10"/>
        <w:ind w:left="0" w:firstLine="0"/>
        <w:jc w:val="left"/>
        <w:rPr>
          <w:b/>
          <w:sz w:val="24"/>
        </w:rPr>
      </w:pPr>
    </w:p>
    <w:p w14:paraId="1DB05CFA" w14:textId="77777777" w:rsidR="003D6CAD" w:rsidRDefault="00432E3C">
      <w:pPr>
        <w:pStyle w:val="PargrafodaLista"/>
        <w:numPr>
          <w:ilvl w:val="0"/>
          <w:numId w:val="1"/>
        </w:numPr>
        <w:tabs>
          <w:tab w:val="left" w:pos="679"/>
        </w:tabs>
        <w:spacing w:before="94"/>
        <w:rPr>
          <w:b/>
          <w:sz w:val="18"/>
        </w:rPr>
      </w:pPr>
      <w:r>
        <w:rPr>
          <w:b/>
          <w:sz w:val="18"/>
        </w:rPr>
        <w:t>Da Convocação:</w:t>
      </w:r>
    </w:p>
    <w:p w14:paraId="11EBB71E" w14:textId="77777777" w:rsidR="003D6CAD" w:rsidRDefault="00432E3C">
      <w:pPr>
        <w:pStyle w:val="PargrafodaLista"/>
        <w:numPr>
          <w:ilvl w:val="0"/>
          <w:numId w:val="1"/>
        </w:numPr>
        <w:tabs>
          <w:tab w:val="left" w:pos="679"/>
        </w:tabs>
        <w:spacing w:before="119"/>
        <w:ind w:right="125"/>
        <w:rPr>
          <w:sz w:val="18"/>
        </w:rPr>
      </w:pPr>
      <w:r>
        <w:rPr>
          <w:sz w:val="18"/>
        </w:rPr>
        <w:t>A convocação para a Consulta aos Associados do IEP far-se-á através de edital afixado na sede do IEP, em local de fácil visualização, com a antecedência mínima de 15 (quinze) dias</w:t>
      </w:r>
      <w:r>
        <w:rPr>
          <w:spacing w:val="-3"/>
          <w:sz w:val="18"/>
        </w:rPr>
        <w:t xml:space="preserve"> </w:t>
      </w:r>
      <w:r>
        <w:rPr>
          <w:sz w:val="18"/>
        </w:rPr>
        <w:t>úteis.</w:t>
      </w:r>
    </w:p>
    <w:p w14:paraId="1ADCBAA4" w14:textId="77777777" w:rsidR="003D6CAD" w:rsidRDefault="00432E3C">
      <w:pPr>
        <w:pStyle w:val="Ttulo1"/>
        <w:numPr>
          <w:ilvl w:val="0"/>
          <w:numId w:val="1"/>
        </w:numPr>
        <w:tabs>
          <w:tab w:val="left" w:pos="679"/>
        </w:tabs>
        <w:spacing w:before="121"/>
        <w:rPr>
          <w:u w:val="none"/>
        </w:rPr>
      </w:pPr>
      <w:r>
        <w:rPr>
          <w:u w:val="none"/>
        </w:rPr>
        <w:t>Da</w:t>
      </w:r>
      <w:r>
        <w:rPr>
          <w:spacing w:val="-1"/>
          <w:u w:val="none"/>
        </w:rPr>
        <w:t xml:space="preserve"> </w:t>
      </w:r>
      <w:r>
        <w:rPr>
          <w:u w:val="none"/>
        </w:rPr>
        <w:t>Candidatura:</w:t>
      </w:r>
    </w:p>
    <w:p w14:paraId="20F0D6A9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ind w:right="121"/>
        <w:rPr>
          <w:sz w:val="18"/>
        </w:rPr>
      </w:pPr>
      <w:r>
        <w:rPr>
          <w:sz w:val="18"/>
        </w:rPr>
        <w:t>Para poder ter seu nome veiculado na Consulta e ser votado é necessário que o Associado Titular tenha sido admitido nesta categoria há mais de 2 (dois) anos antes da data marcada para a Consulta e resida no estado do Paraná, conforme disposto no artigo 9º inciso VII no Estatuto do IEP, e esteja regular com suas obrigações junto ao IEP bem como em pleno gozo de seus direitos</w:t>
      </w:r>
      <w:r>
        <w:rPr>
          <w:spacing w:val="-5"/>
          <w:sz w:val="18"/>
        </w:rPr>
        <w:t xml:space="preserve"> </w:t>
      </w:r>
      <w:r>
        <w:rPr>
          <w:sz w:val="18"/>
        </w:rPr>
        <w:t>civis.</w:t>
      </w:r>
    </w:p>
    <w:p w14:paraId="5267C3E5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ind w:right="123"/>
        <w:rPr>
          <w:sz w:val="18"/>
        </w:rPr>
      </w:pPr>
      <w:r>
        <w:rPr>
          <w:sz w:val="18"/>
        </w:rPr>
        <w:t>O requerimento de inscrição na Consulta será por chapa (titular e suplente) devendo ser protocolado na Secretaria do IEP até às 18 horas do dia 13/11/2019, através de petição assinada pelos</w:t>
      </w:r>
      <w:r>
        <w:rPr>
          <w:spacing w:val="-6"/>
          <w:sz w:val="18"/>
        </w:rPr>
        <w:t xml:space="preserve"> </w:t>
      </w:r>
      <w:r>
        <w:rPr>
          <w:sz w:val="18"/>
        </w:rPr>
        <w:t>candidatos.</w:t>
      </w:r>
    </w:p>
    <w:p w14:paraId="71D3125D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21"/>
        <w:ind w:right="121"/>
        <w:rPr>
          <w:sz w:val="18"/>
        </w:rPr>
      </w:pPr>
      <w:r>
        <w:rPr>
          <w:sz w:val="18"/>
        </w:rPr>
        <w:t>No requerimento de inscrição na Consulta, o candidato titular deverá juntar à petição minicurrículo no formato do Word, com até 1000 caracteres (contados pelo programa Word na opção estatística, sem espaços), que será divulgado pelo site e/ou jornal eletrônico do IEP. O texto não deverá conter nenhum destaque do Word como negrito ou itálico e, caso ocorram, serão retirados</w:t>
      </w:r>
      <w:r>
        <w:rPr>
          <w:spacing w:val="-2"/>
          <w:sz w:val="18"/>
        </w:rPr>
        <w:t xml:space="preserve"> </w:t>
      </w:r>
      <w:r>
        <w:rPr>
          <w:sz w:val="18"/>
        </w:rPr>
        <w:t>automaticamente.</w:t>
      </w:r>
    </w:p>
    <w:p w14:paraId="49746263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18"/>
        <w:ind w:right="121"/>
        <w:rPr>
          <w:sz w:val="18"/>
        </w:rPr>
      </w:pPr>
      <w:r>
        <w:rPr>
          <w:sz w:val="18"/>
        </w:rPr>
        <w:t>O titular e o suplente da chapa deverão apresentar regularidade junto ao CREA-PR através de Certidão de Registro de Pessoa Física, devendo ter optado pelo IEP como entidade de classe no CREA-PR, até a data do registro da candidatura, sob pena de não o fazendo ter indeferido seu</w:t>
      </w:r>
      <w:r>
        <w:rPr>
          <w:spacing w:val="-10"/>
          <w:sz w:val="18"/>
        </w:rPr>
        <w:t xml:space="preserve"> </w:t>
      </w:r>
      <w:r>
        <w:rPr>
          <w:sz w:val="18"/>
        </w:rPr>
        <w:t>requerimento.</w:t>
      </w:r>
    </w:p>
    <w:p w14:paraId="10EF3953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21"/>
        <w:ind w:right="122"/>
        <w:rPr>
          <w:sz w:val="18"/>
        </w:rPr>
      </w:pPr>
      <w:r>
        <w:rPr>
          <w:sz w:val="18"/>
        </w:rPr>
        <w:t>O titular e o suplente deverão apresentar certidões negativas dos cartórios de distribuição das varas cível e criminal da justiça comum e da justiça federal expedidas na comarca de Curitiba além de outras certidões segundo disposto na Resolução 1071/2015 do</w:t>
      </w:r>
      <w:r>
        <w:rPr>
          <w:spacing w:val="-3"/>
          <w:sz w:val="18"/>
        </w:rPr>
        <w:t xml:space="preserve"> </w:t>
      </w:r>
      <w:r>
        <w:rPr>
          <w:sz w:val="18"/>
        </w:rPr>
        <w:t>CONFEA.</w:t>
      </w:r>
    </w:p>
    <w:p w14:paraId="4476D1F6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54" w:line="278" w:lineRule="auto"/>
        <w:ind w:right="117"/>
        <w:rPr>
          <w:sz w:val="18"/>
        </w:rPr>
      </w:pPr>
      <w:r>
        <w:rPr>
          <w:sz w:val="18"/>
        </w:rPr>
        <w:t xml:space="preserve">A </w:t>
      </w:r>
      <w:r>
        <w:rPr>
          <w:spacing w:val="-5"/>
          <w:sz w:val="18"/>
        </w:rPr>
        <w:t xml:space="preserve">Comissão </w:t>
      </w:r>
      <w:r>
        <w:rPr>
          <w:spacing w:val="-6"/>
          <w:sz w:val="18"/>
        </w:rPr>
        <w:t xml:space="preserve">Eleitoral </w:t>
      </w:r>
      <w:r>
        <w:rPr>
          <w:spacing w:val="-5"/>
          <w:sz w:val="18"/>
        </w:rPr>
        <w:t xml:space="preserve">poderá prorrogar </w:t>
      </w:r>
      <w:r>
        <w:rPr>
          <w:spacing w:val="-4"/>
          <w:sz w:val="18"/>
        </w:rPr>
        <w:t xml:space="preserve">em até </w:t>
      </w:r>
      <w:r>
        <w:rPr>
          <w:sz w:val="18"/>
        </w:rPr>
        <w:t xml:space="preserve">5 </w:t>
      </w:r>
      <w:r>
        <w:rPr>
          <w:spacing w:val="-5"/>
          <w:sz w:val="18"/>
        </w:rPr>
        <w:t xml:space="preserve">(cinco) dias úteis </w:t>
      </w:r>
      <w:r>
        <w:rPr>
          <w:sz w:val="18"/>
        </w:rPr>
        <w:t xml:space="preserve">o </w:t>
      </w:r>
      <w:r>
        <w:rPr>
          <w:spacing w:val="-5"/>
          <w:sz w:val="18"/>
        </w:rPr>
        <w:t xml:space="preserve">prazo </w:t>
      </w:r>
      <w:r>
        <w:rPr>
          <w:spacing w:val="-3"/>
          <w:sz w:val="18"/>
        </w:rPr>
        <w:t xml:space="preserve">de </w:t>
      </w:r>
      <w:r>
        <w:rPr>
          <w:spacing w:val="-5"/>
          <w:sz w:val="18"/>
        </w:rPr>
        <w:t xml:space="preserve">inscrição </w:t>
      </w:r>
      <w:r>
        <w:rPr>
          <w:spacing w:val="-4"/>
          <w:sz w:val="18"/>
        </w:rPr>
        <w:t xml:space="preserve">na </w:t>
      </w:r>
      <w:r>
        <w:rPr>
          <w:spacing w:val="-5"/>
          <w:sz w:val="18"/>
        </w:rPr>
        <w:t xml:space="preserve">Consulta </w:t>
      </w:r>
      <w:r>
        <w:rPr>
          <w:sz w:val="18"/>
        </w:rPr>
        <w:t xml:space="preserve">na </w:t>
      </w:r>
      <w:r>
        <w:rPr>
          <w:spacing w:val="-5"/>
          <w:sz w:val="18"/>
        </w:rPr>
        <w:t xml:space="preserve">hipótese </w:t>
      </w:r>
      <w:r>
        <w:rPr>
          <w:spacing w:val="-4"/>
          <w:sz w:val="18"/>
        </w:rPr>
        <w:t xml:space="preserve">de não </w:t>
      </w:r>
      <w:r>
        <w:rPr>
          <w:spacing w:val="-5"/>
          <w:sz w:val="18"/>
        </w:rPr>
        <w:t xml:space="preserve">haver chapas </w:t>
      </w:r>
      <w:r>
        <w:rPr>
          <w:spacing w:val="-3"/>
          <w:sz w:val="18"/>
        </w:rPr>
        <w:t xml:space="preserve">com </w:t>
      </w:r>
      <w:r>
        <w:rPr>
          <w:spacing w:val="-5"/>
          <w:sz w:val="18"/>
        </w:rPr>
        <w:t xml:space="preserve">inscrição </w:t>
      </w:r>
      <w:r>
        <w:rPr>
          <w:spacing w:val="-6"/>
          <w:sz w:val="18"/>
        </w:rPr>
        <w:t xml:space="preserve">homologada </w:t>
      </w:r>
      <w:r>
        <w:rPr>
          <w:spacing w:val="-3"/>
          <w:sz w:val="18"/>
        </w:rPr>
        <w:t xml:space="preserve">em </w:t>
      </w:r>
      <w:r>
        <w:rPr>
          <w:spacing w:val="-5"/>
          <w:sz w:val="18"/>
        </w:rPr>
        <w:t xml:space="preserve">número igual </w:t>
      </w:r>
      <w:r>
        <w:rPr>
          <w:spacing w:val="-3"/>
          <w:sz w:val="18"/>
        </w:rPr>
        <w:t xml:space="preserve">ou </w:t>
      </w:r>
      <w:r>
        <w:rPr>
          <w:spacing w:val="-6"/>
          <w:sz w:val="18"/>
        </w:rPr>
        <w:t xml:space="preserve">superior </w:t>
      </w:r>
      <w:r>
        <w:rPr>
          <w:spacing w:val="-4"/>
          <w:sz w:val="18"/>
        </w:rPr>
        <w:t xml:space="preserve">ao </w:t>
      </w:r>
      <w:r>
        <w:rPr>
          <w:spacing w:val="-5"/>
          <w:sz w:val="18"/>
        </w:rPr>
        <w:t xml:space="preserve">número </w:t>
      </w:r>
      <w:r>
        <w:rPr>
          <w:spacing w:val="-3"/>
          <w:sz w:val="18"/>
        </w:rPr>
        <w:t xml:space="preserve">de </w:t>
      </w:r>
      <w:r>
        <w:rPr>
          <w:spacing w:val="-5"/>
          <w:sz w:val="18"/>
        </w:rPr>
        <w:t xml:space="preserve">vagas </w:t>
      </w:r>
      <w:r>
        <w:rPr>
          <w:spacing w:val="-6"/>
          <w:sz w:val="18"/>
        </w:rPr>
        <w:t xml:space="preserve">estabelecido </w:t>
      </w:r>
      <w:r>
        <w:rPr>
          <w:spacing w:val="-5"/>
          <w:sz w:val="18"/>
        </w:rPr>
        <w:t xml:space="preserve">neste </w:t>
      </w:r>
      <w:r>
        <w:rPr>
          <w:spacing w:val="-6"/>
          <w:sz w:val="18"/>
        </w:rPr>
        <w:t xml:space="preserve">regulamento. </w:t>
      </w:r>
      <w:r>
        <w:rPr>
          <w:spacing w:val="-5"/>
          <w:sz w:val="18"/>
        </w:rPr>
        <w:t>Nesta hipótese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sorteio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ordem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dos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nomes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votação</w:t>
      </w:r>
      <w:r>
        <w:rPr>
          <w:spacing w:val="-8"/>
          <w:sz w:val="18"/>
        </w:rPr>
        <w:t xml:space="preserve"> </w:t>
      </w:r>
      <w:r>
        <w:rPr>
          <w:spacing w:val="-6"/>
          <w:sz w:val="18"/>
        </w:rPr>
        <w:t>eletrônica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adiado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para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nova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limite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registro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chapas.</w:t>
      </w:r>
    </w:p>
    <w:p w14:paraId="1D6195AC" w14:textId="77777777" w:rsidR="003D6CAD" w:rsidRDefault="00432E3C">
      <w:pPr>
        <w:pStyle w:val="Ttulo1"/>
        <w:numPr>
          <w:ilvl w:val="0"/>
          <w:numId w:val="1"/>
        </w:numPr>
        <w:tabs>
          <w:tab w:val="left" w:pos="730"/>
        </w:tabs>
        <w:spacing w:before="86"/>
        <w:ind w:left="729" w:hanging="335"/>
        <w:rPr>
          <w:u w:val="none"/>
        </w:rPr>
      </w:pPr>
      <w:r>
        <w:rPr>
          <w:u w:val="none"/>
        </w:rPr>
        <w:t>Da</w:t>
      </w:r>
      <w:r>
        <w:rPr>
          <w:spacing w:val="-1"/>
          <w:u w:val="none"/>
        </w:rPr>
        <w:t xml:space="preserve"> </w:t>
      </w:r>
      <w:r>
        <w:rPr>
          <w:u w:val="none"/>
        </w:rPr>
        <w:t>Consulta</w:t>
      </w:r>
    </w:p>
    <w:p w14:paraId="43B7B004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ind w:right="123"/>
        <w:rPr>
          <w:sz w:val="18"/>
        </w:rPr>
      </w:pPr>
      <w:r>
        <w:rPr>
          <w:sz w:val="18"/>
        </w:rPr>
        <w:t>A indicação do Representante do IEP junto ao CREA-PR realizar-se-á na forma de Consulta, no período de 25/11/2019 à 26/11/2019, sendo observado o disposto neste</w:t>
      </w:r>
      <w:r>
        <w:rPr>
          <w:spacing w:val="-6"/>
          <w:sz w:val="18"/>
        </w:rPr>
        <w:t xml:space="preserve"> </w:t>
      </w:r>
      <w:r>
        <w:rPr>
          <w:sz w:val="18"/>
        </w:rPr>
        <w:t>Regulamento.</w:t>
      </w:r>
    </w:p>
    <w:p w14:paraId="78E85CB2" w14:textId="5D457B39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22"/>
        <w:ind w:right="121"/>
        <w:rPr>
          <w:sz w:val="18"/>
        </w:rPr>
      </w:pPr>
      <w:r>
        <w:rPr>
          <w:sz w:val="18"/>
        </w:rPr>
        <w:t>A indicação será feita por escolha direta via Internet das 12:00 horas do dia 25/11/2019 até as 19:00 horas do dia 26/11/2019, dos Associados Titulares que estiverem em pleno gozo de seus direitos</w:t>
      </w:r>
      <w:r>
        <w:rPr>
          <w:spacing w:val="-3"/>
          <w:sz w:val="18"/>
        </w:rPr>
        <w:t xml:space="preserve"> </w:t>
      </w:r>
      <w:r>
        <w:rPr>
          <w:sz w:val="18"/>
        </w:rPr>
        <w:t>sociais.</w:t>
      </w:r>
    </w:p>
    <w:p w14:paraId="0539114D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18"/>
        <w:ind w:right="118"/>
        <w:rPr>
          <w:sz w:val="18"/>
        </w:rPr>
      </w:pPr>
      <w:r>
        <w:rPr>
          <w:sz w:val="18"/>
        </w:rPr>
        <w:t>Cada Associado poderá realizar sua escolha numa única vez, podendo indicar por modalidade uma única chapa. As modalidades profissionais na qual o Associado pode indicar sua opção nesta Consulta são: Engenharia Civil, Engenharia Elétrica, Engenharia Mecânica, Engenharia Química e Engenharia</w:t>
      </w:r>
      <w:r>
        <w:rPr>
          <w:spacing w:val="-3"/>
          <w:sz w:val="18"/>
        </w:rPr>
        <w:t xml:space="preserve"> </w:t>
      </w:r>
      <w:r>
        <w:rPr>
          <w:sz w:val="18"/>
        </w:rPr>
        <w:t>Agronômica.</w:t>
      </w:r>
    </w:p>
    <w:p w14:paraId="79597B87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ind w:right="120"/>
        <w:rPr>
          <w:sz w:val="18"/>
        </w:rPr>
      </w:pPr>
      <w:r>
        <w:rPr>
          <w:sz w:val="18"/>
        </w:rPr>
        <w:t>No dia 13/11/2019, na sede do IEP às 18h05min, será sorteada pelos membros da Comissão Eleitoral, nomeada pela Diretoria, a ordem de divulgação dos minicurrículos e a ordem de colocação das chapas na Consulta</w:t>
      </w:r>
      <w:r>
        <w:rPr>
          <w:spacing w:val="-19"/>
          <w:sz w:val="18"/>
        </w:rPr>
        <w:t xml:space="preserve"> </w:t>
      </w:r>
      <w:r>
        <w:rPr>
          <w:sz w:val="18"/>
        </w:rPr>
        <w:t>eletrônica.</w:t>
      </w:r>
    </w:p>
    <w:p w14:paraId="78E4F1F6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22"/>
        <w:ind w:hanging="143"/>
        <w:jc w:val="left"/>
        <w:rPr>
          <w:sz w:val="18"/>
        </w:rPr>
      </w:pPr>
      <w:r>
        <w:rPr>
          <w:sz w:val="18"/>
        </w:rPr>
        <w:t>Fica o IEP impedido de veicular mensagem que privilegie, individualmente, quaisquer das</w:t>
      </w:r>
      <w:r>
        <w:rPr>
          <w:spacing w:val="-14"/>
          <w:sz w:val="18"/>
        </w:rPr>
        <w:t xml:space="preserve"> </w:t>
      </w:r>
      <w:r>
        <w:rPr>
          <w:sz w:val="18"/>
        </w:rPr>
        <w:t>chapas.</w:t>
      </w:r>
    </w:p>
    <w:p w14:paraId="02235764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19"/>
        <w:ind w:right="117"/>
        <w:rPr>
          <w:sz w:val="18"/>
        </w:rPr>
      </w:pPr>
      <w:r>
        <w:rPr>
          <w:sz w:val="18"/>
        </w:rPr>
        <w:t>Havendo empate entre chapas que obtiverem maior número de votos, será declarada vencedora a chapa que tiver o candidato titular com data de aceitação como Associado Titular do IEP mais antiga. Caso ocorra coincidência nesta data, será vencedora a chapa cujo titular tiver a data mais antiga de</w:t>
      </w:r>
      <w:r>
        <w:rPr>
          <w:spacing w:val="-10"/>
          <w:sz w:val="18"/>
        </w:rPr>
        <w:t xml:space="preserve"> </w:t>
      </w:r>
      <w:r>
        <w:rPr>
          <w:sz w:val="18"/>
        </w:rPr>
        <w:t>diplomação.</w:t>
      </w:r>
    </w:p>
    <w:p w14:paraId="20DC55E5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21"/>
        <w:ind w:right="118"/>
        <w:rPr>
          <w:sz w:val="18"/>
        </w:rPr>
      </w:pPr>
      <w:r>
        <w:rPr>
          <w:sz w:val="18"/>
        </w:rPr>
        <w:t>Do ato da Comissão Eleitoral que proclamar as chapas vencedoras caberá recurso ao Conselho Deliberativo, por qualquer candidato, dentro de 2 (dois) dias úteis da realização da Consulta, que o julgará em última instância no prazo de 5 (cinco)</w:t>
      </w:r>
      <w:r>
        <w:rPr>
          <w:spacing w:val="-36"/>
          <w:sz w:val="18"/>
        </w:rPr>
        <w:t xml:space="preserve"> </w:t>
      </w:r>
      <w:r>
        <w:rPr>
          <w:sz w:val="18"/>
        </w:rPr>
        <w:t>dias úteis e, no caso de provimento, determinará, se assim for necessário, nova Consulta para data que fixará.</w:t>
      </w:r>
    </w:p>
    <w:p w14:paraId="3FD7FF5F" w14:textId="77777777" w:rsidR="003D6CAD" w:rsidRDefault="00432E3C">
      <w:pPr>
        <w:pStyle w:val="Ttulo1"/>
        <w:numPr>
          <w:ilvl w:val="0"/>
          <w:numId w:val="1"/>
        </w:numPr>
        <w:tabs>
          <w:tab w:val="left" w:pos="730"/>
        </w:tabs>
        <w:ind w:left="729" w:hanging="335"/>
        <w:rPr>
          <w:u w:val="none"/>
        </w:rPr>
      </w:pPr>
      <w:r>
        <w:rPr>
          <w:u w:val="none"/>
        </w:rPr>
        <w:t>Do</w:t>
      </w:r>
      <w:r>
        <w:rPr>
          <w:spacing w:val="-1"/>
          <w:u w:val="none"/>
        </w:rPr>
        <w:t xml:space="preserve"> </w:t>
      </w:r>
      <w:r>
        <w:rPr>
          <w:u w:val="none"/>
        </w:rPr>
        <w:t>Exercício:</w:t>
      </w:r>
    </w:p>
    <w:p w14:paraId="5C6CAD70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spacing w:before="121"/>
        <w:ind w:hanging="143"/>
        <w:jc w:val="left"/>
        <w:rPr>
          <w:sz w:val="18"/>
        </w:rPr>
      </w:pPr>
      <w:r>
        <w:rPr>
          <w:sz w:val="18"/>
        </w:rPr>
        <w:t>O exercício das funções dos representantes titulares e suplentes no CREA-PR não será</w:t>
      </w:r>
      <w:r>
        <w:rPr>
          <w:spacing w:val="-6"/>
          <w:sz w:val="18"/>
        </w:rPr>
        <w:t xml:space="preserve"> </w:t>
      </w:r>
      <w:r>
        <w:rPr>
          <w:sz w:val="18"/>
        </w:rPr>
        <w:t>remunerado.</w:t>
      </w:r>
    </w:p>
    <w:p w14:paraId="504677EE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ind w:right="120"/>
        <w:rPr>
          <w:sz w:val="18"/>
        </w:rPr>
      </w:pPr>
      <w:r>
        <w:rPr>
          <w:sz w:val="18"/>
        </w:rPr>
        <w:t>Os deveres dos representantes indicados estão expressos no artigo 18 do Estatuto do IEP, com os quais os candidatos comprometem-se explicitamente a cumprir. Além das sanções previstas no Código de Ética do IEP, o não cumprimento implica automaticamente na inelegibilidade do Associado para qualquer cargo no IEP, ou para indicação como seu representante em qualquer entidade, por um período de 10</w:t>
      </w:r>
      <w:r>
        <w:rPr>
          <w:spacing w:val="-9"/>
          <w:sz w:val="18"/>
        </w:rPr>
        <w:t xml:space="preserve"> </w:t>
      </w:r>
      <w:r>
        <w:rPr>
          <w:sz w:val="18"/>
        </w:rPr>
        <w:t>anos.</w:t>
      </w:r>
    </w:p>
    <w:p w14:paraId="3A73C1EC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ind w:hanging="143"/>
        <w:jc w:val="left"/>
        <w:rPr>
          <w:sz w:val="18"/>
        </w:rPr>
      </w:pPr>
      <w:r>
        <w:rPr>
          <w:sz w:val="18"/>
        </w:rPr>
        <w:t>O mandato das chapas vencedoras é de até 3 (três) anos, segundo decisão do Plenário do</w:t>
      </w:r>
      <w:r>
        <w:rPr>
          <w:spacing w:val="-12"/>
          <w:sz w:val="18"/>
        </w:rPr>
        <w:t xml:space="preserve"> </w:t>
      </w:r>
      <w:r>
        <w:rPr>
          <w:sz w:val="18"/>
        </w:rPr>
        <w:t>CREA-PR.</w:t>
      </w:r>
    </w:p>
    <w:p w14:paraId="05E35A1F" w14:textId="77777777" w:rsidR="003D6CAD" w:rsidRDefault="00432E3C">
      <w:pPr>
        <w:pStyle w:val="Ttulo1"/>
        <w:numPr>
          <w:ilvl w:val="0"/>
          <w:numId w:val="1"/>
        </w:numPr>
        <w:tabs>
          <w:tab w:val="left" w:pos="730"/>
        </w:tabs>
        <w:ind w:left="729" w:hanging="335"/>
        <w:rPr>
          <w:u w:val="none"/>
        </w:rPr>
      </w:pPr>
      <w:r>
        <w:rPr>
          <w:u w:val="none"/>
        </w:rPr>
        <w:t>Das Omissões deste</w:t>
      </w:r>
      <w:r>
        <w:rPr>
          <w:spacing w:val="-5"/>
          <w:u w:val="none"/>
        </w:rPr>
        <w:t xml:space="preserve"> </w:t>
      </w:r>
      <w:r>
        <w:rPr>
          <w:u w:val="none"/>
        </w:rPr>
        <w:t>Regulamento</w:t>
      </w:r>
    </w:p>
    <w:p w14:paraId="7E051380" w14:textId="77777777" w:rsidR="003D6CAD" w:rsidRDefault="00432E3C">
      <w:pPr>
        <w:pStyle w:val="PargrafodaLista"/>
        <w:numPr>
          <w:ilvl w:val="1"/>
          <w:numId w:val="1"/>
        </w:numPr>
        <w:tabs>
          <w:tab w:val="left" w:pos="821"/>
        </w:tabs>
        <w:ind w:right="123"/>
        <w:rPr>
          <w:sz w:val="18"/>
        </w:rPr>
      </w:pPr>
      <w:r>
        <w:rPr>
          <w:sz w:val="18"/>
        </w:rPr>
        <w:t>Os casos omissos deste regulamento serão tratados em reunião extraordinária, especificamente convocada, do Conselho Deliberativo.</w:t>
      </w:r>
    </w:p>
    <w:sectPr w:rsidR="003D6CAD">
      <w:type w:val="continuous"/>
      <w:pgSz w:w="11910" w:h="16840"/>
      <w:pgMar w:top="68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B7ED8"/>
    <w:multiLevelType w:val="hybridMultilevel"/>
    <w:tmpl w:val="E3BA19EE"/>
    <w:lvl w:ilvl="0" w:tplc="29ECAF9A">
      <w:start w:val="1"/>
      <w:numFmt w:val="upperRoman"/>
      <w:lvlText w:val="%1."/>
      <w:lvlJc w:val="left"/>
      <w:pPr>
        <w:ind w:left="678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pt-PT" w:bidi="pt-PT"/>
      </w:rPr>
    </w:lvl>
    <w:lvl w:ilvl="1" w:tplc="3DBA586E">
      <w:numFmt w:val="bullet"/>
      <w:lvlText w:val=""/>
      <w:lvlJc w:val="left"/>
      <w:pPr>
        <w:ind w:left="820" w:hanging="142"/>
      </w:pPr>
      <w:rPr>
        <w:rFonts w:ascii="Wingdings" w:eastAsia="Wingdings" w:hAnsi="Wingdings" w:cs="Wingdings" w:hint="default"/>
        <w:w w:val="100"/>
        <w:sz w:val="18"/>
        <w:szCs w:val="18"/>
        <w:lang w:val="pt-PT" w:eastAsia="pt-PT" w:bidi="pt-PT"/>
      </w:rPr>
    </w:lvl>
    <w:lvl w:ilvl="2" w:tplc="FDC86450">
      <w:numFmt w:val="bullet"/>
      <w:lvlText w:val="•"/>
      <w:lvlJc w:val="left"/>
      <w:pPr>
        <w:ind w:left="1920" w:hanging="142"/>
      </w:pPr>
      <w:rPr>
        <w:rFonts w:hint="default"/>
        <w:lang w:val="pt-PT" w:eastAsia="pt-PT" w:bidi="pt-PT"/>
      </w:rPr>
    </w:lvl>
    <w:lvl w:ilvl="3" w:tplc="DD74429C">
      <w:numFmt w:val="bullet"/>
      <w:lvlText w:val="•"/>
      <w:lvlJc w:val="left"/>
      <w:pPr>
        <w:ind w:left="3020" w:hanging="142"/>
      </w:pPr>
      <w:rPr>
        <w:rFonts w:hint="default"/>
        <w:lang w:val="pt-PT" w:eastAsia="pt-PT" w:bidi="pt-PT"/>
      </w:rPr>
    </w:lvl>
    <w:lvl w:ilvl="4" w:tplc="A81CC740">
      <w:numFmt w:val="bullet"/>
      <w:lvlText w:val="•"/>
      <w:lvlJc w:val="left"/>
      <w:pPr>
        <w:ind w:left="4121" w:hanging="142"/>
      </w:pPr>
      <w:rPr>
        <w:rFonts w:hint="default"/>
        <w:lang w:val="pt-PT" w:eastAsia="pt-PT" w:bidi="pt-PT"/>
      </w:rPr>
    </w:lvl>
    <w:lvl w:ilvl="5" w:tplc="6D5E241E">
      <w:numFmt w:val="bullet"/>
      <w:lvlText w:val="•"/>
      <w:lvlJc w:val="left"/>
      <w:pPr>
        <w:ind w:left="5221" w:hanging="142"/>
      </w:pPr>
      <w:rPr>
        <w:rFonts w:hint="default"/>
        <w:lang w:val="pt-PT" w:eastAsia="pt-PT" w:bidi="pt-PT"/>
      </w:rPr>
    </w:lvl>
    <w:lvl w:ilvl="6" w:tplc="FC34135E">
      <w:numFmt w:val="bullet"/>
      <w:lvlText w:val="•"/>
      <w:lvlJc w:val="left"/>
      <w:pPr>
        <w:ind w:left="6322" w:hanging="142"/>
      </w:pPr>
      <w:rPr>
        <w:rFonts w:hint="default"/>
        <w:lang w:val="pt-PT" w:eastAsia="pt-PT" w:bidi="pt-PT"/>
      </w:rPr>
    </w:lvl>
    <w:lvl w:ilvl="7" w:tplc="79925BB2">
      <w:numFmt w:val="bullet"/>
      <w:lvlText w:val="•"/>
      <w:lvlJc w:val="left"/>
      <w:pPr>
        <w:ind w:left="7422" w:hanging="142"/>
      </w:pPr>
      <w:rPr>
        <w:rFonts w:hint="default"/>
        <w:lang w:val="pt-PT" w:eastAsia="pt-PT" w:bidi="pt-PT"/>
      </w:rPr>
    </w:lvl>
    <w:lvl w:ilvl="8" w:tplc="492C7678">
      <w:numFmt w:val="bullet"/>
      <w:lvlText w:val="•"/>
      <w:lvlJc w:val="left"/>
      <w:pPr>
        <w:ind w:left="8523" w:hanging="14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AD"/>
    <w:rsid w:val="003D6CAD"/>
    <w:rsid w:val="00432E3C"/>
    <w:rsid w:val="0051691B"/>
    <w:rsid w:val="008A043A"/>
    <w:rsid w:val="00B3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E98E"/>
  <w15:docId w15:val="{3500A102-2A0C-40AA-A528-EE267DBC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19"/>
      <w:ind w:left="729" w:hanging="335"/>
      <w:outlineLvl w:val="0"/>
    </w:pPr>
    <w:rPr>
      <w:b/>
      <w:bCs/>
      <w:sz w:val="18"/>
      <w:szCs w:val="1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820" w:hanging="142"/>
      <w:jc w:val="both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20"/>
      <w:ind w:left="820" w:hanging="14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Eleições 2008</vt:lpstr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Eleições 2008</dc:title>
  <dc:creator>Bill Gates</dc:creator>
  <cp:lastModifiedBy>Bruna</cp:lastModifiedBy>
  <cp:revision>2</cp:revision>
  <dcterms:created xsi:type="dcterms:W3CDTF">2019-11-08T17:23:00Z</dcterms:created>
  <dcterms:modified xsi:type="dcterms:W3CDTF">2019-11-08T17:23:00Z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2019-11-04T00:00:00Z</vt:filetime>
  </property>
</Properties>
</file>